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FC" w:rsidRDefault="00017CFC" w:rsidP="00017CFC">
      <w:pPr>
        <w:pStyle w:val="Akapitzlist"/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bookmarkStart w:id="0" w:name="_GoBack"/>
      <w:r>
        <w:rPr>
          <w:rFonts w:ascii="Century Gothic" w:hAnsi="Century Gothic"/>
          <w:b/>
        </w:rPr>
        <w:t>Załącznik nr 2 -</w:t>
      </w:r>
      <w:r>
        <w:rPr>
          <w:b/>
        </w:rPr>
        <w:t xml:space="preserve"> </w:t>
      </w:r>
      <w:r w:rsidRPr="00AD0015">
        <w:rPr>
          <w:rFonts w:ascii="Century Gothic" w:hAnsi="Century Gothic"/>
          <w:sz w:val="20"/>
          <w:szCs w:val="20"/>
        </w:rPr>
        <w:t>Załącznik graficzny oraz § 12 Miejscowego Planu Zagospodarowania Przestrzennego gm. Raków dotyczące działki 322 w miejscowości Jamno.</w:t>
      </w:r>
    </w:p>
    <w:bookmarkEnd w:id="0"/>
    <w:p w:rsidR="00017CFC" w:rsidRPr="00AD0015" w:rsidRDefault="00017CFC" w:rsidP="00017CFC">
      <w:pPr>
        <w:pStyle w:val="Akapitzlist"/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</w:p>
    <w:p w:rsidR="008F55ED" w:rsidRDefault="00017CFC" w:rsidP="00017CFC">
      <w:pPr>
        <w:pStyle w:val="Akapitzlist"/>
        <w:spacing w:before="100" w:beforeAutospacing="1" w:after="100" w:afterAutospacing="1"/>
        <w:ind w:left="0"/>
        <w:jc w:val="center"/>
        <w:rPr>
          <w:b/>
        </w:rPr>
      </w:pPr>
      <w:r w:rsidRPr="006613F2">
        <w:rPr>
          <w:rFonts w:ascii="Cambria" w:hAnsi="Cambria"/>
          <w:b/>
          <w:noProof/>
        </w:rPr>
        <w:drawing>
          <wp:inline distT="0" distB="0" distL="0" distR="0" wp14:anchorId="564C6262" wp14:editId="4B672251">
            <wp:extent cx="6632863" cy="79152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7458" cy="792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CFC" w:rsidRDefault="00017CFC" w:rsidP="00017CFC">
      <w:pPr>
        <w:pStyle w:val="Akapitzlist"/>
        <w:spacing w:before="100" w:beforeAutospacing="1" w:after="100" w:afterAutospacing="1"/>
        <w:ind w:left="0"/>
        <w:jc w:val="center"/>
        <w:rPr>
          <w:b/>
        </w:rPr>
      </w:pPr>
    </w:p>
    <w:p w:rsidR="00017CFC" w:rsidRDefault="00017CFC" w:rsidP="00017CFC">
      <w:pPr>
        <w:pStyle w:val="Akapitzlist"/>
        <w:spacing w:before="100" w:beforeAutospacing="1" w:after="100" w:afterAutospacing="1"/>
        <w:ind w:left="0"/>
        <w:jc w:val="center"/>
        <w:rPr>
          <w:b/>
        </w:rPr>
      </w:pPr>
    </w:p>
    <w:p w:rsidR="00017CFC" w:rsidRDefault="00017CFC" w:rsidP="00017CFC">
      <w:pPr>
        <w:keepNext/>
        <w:spacing w:before="280" w:line="240" w:lineRule="auto"/>
        <w:contextualSpacing/>
        <w:jc w:val="center"/>
      </w:pPr>
      <w:r>
        <w:rPr>
          <w:b/>
        </w:rPr>
        <w:lastRenderedPageBreak/>
        <w:t>§ 12. </w:t>
      </w:r>
    </w:p>
    <w:p w:rsidR="00017CFC" w:rsidRDefault="00017CFC" w:rsidP="00017CFC">
      <w:pPr>
        <w:keepLines/>
        <w:spacing w:before="120" w:line="240" w:lineRule="auto"/>
        <w:contextualSpacing/>
      </w:pPr>
      <w:r>
        <w:t>Ustalenia dotyczące zasad i warunków scalenia i podziału nieruchomości:</w:t>
      </w:r>
    </w:p>
    <w:p w:rsidR="00017CFC" w:rsidRDefault="00017CFC" w:rsidP="00017CFC">
      <w:pPr>
        <w:spacing w:before="120" w:line="240" w:lineRule="auto"/>
        <w:ind w:left="454" w:hanging="283"/>
        <w:contextualSpacing/>
      </w:pPr>
      <w:r>
        <w:t>1) na obszarze objętym planem nie wyznacza się terenów wymagających przeprowadzenia scaleń i podziałów nieruchomości w rozumieniu przepisów ustawy o gospodarce nieruchomościami;</w:t>
      </w:r>
    </w:p>
    <w:p w:rsidR="00017CFC" w:rsidRDefault="00017CFC" w:rsidP="00017CFC">
      <w:pPr>
        <w:spacing w:before="120" w:line="240" w:lineRule="auto"/>
        <w:ind w:left="454" w:hanging="283"/>
        <w:contextualSpacing/>
      </w:pPr>
      <w:r>
        <w:t>2) regulacja granic własności w liniach rozgraniczających poszczególnych terenów może nastąpić w ramach czynności cywilnoprawnych;</w:t>
      </w:r>
    </w:p>
    <w:p w:rsidR="00017CFC" w:rsidRDefault="00017CFC" w:rsidP="00017CFC">
      <w:pPr>
        <w:spacing w:before="120" w:line="240" w:lineRule="auto"/>
        <w:ind w:left="454" w:hanging="283"/>
        <w:contextualSpacing/>
      </w:pPr>
      <w:r>
        <w:t xml:space="preserve">3) ustala się szczegółowe zasady podziału oraz warunki scalania i podziału nieruchomości dokonywanych w ramach czynności </w:t>
      </w:r>
      <w:proofErr w:type="spellStart"/>
      <w:r>
        <w:t>cywilno</w:t>
      </w:r>
      <w:proofErr w:type="spellEnd"/>
      <w:r>
        <w:t xml:space="preserve"> – prawnych, o ile ustalenia szczegółowe nie stanowią inaczej:</w:t>
      </w:r>
    </w:p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t>a) każda nowo wydzielana działka budowlana winna posiadać:</w:t>
      </w:r>
    </w:p>
    <w:p w:rsidR="00017CFC" w:rsidRDefault="00017CFC" w:rsidP="00017CFC">
      <w:pPr>
        <w:keepLines/>
        <w:spacing w:before="120" w:line="240" w:lineRule="auto"/>
        <w:ind w:left="1134" w:hanging="113"/>
        <w:contextualSpacing/>
      </w:pPr>
      <w:r>
        <w:t>- dostęp do drogi publicznej drogi wewnętrznej lub ciągu pieszo-jezdnego,</w:t>
      </w:r>
    </w:p>
    <w:p w:rsidR="00017CFC" w:rsidRDefault="00017CFC" w:rsidP="00017CFC">
      <w:pPr>
        <w:keepLines/>
        <w:spacing w:before="120" w:line="240" w:lineRule="auto"/>
        <w:ind w:left="1134" w:hanging="113"/>
        <w:contextualSpacing/>
      </w:pPr>
      <w:r>
        <w:t>- możliwość realizacji miejsc postojowych dla samochodów, w ilości określonej w ustaleniach szczegółowych,</w:t>
      </w:r>
    </w:p>
    <w:p w:rsidR="00017CFC" w:rsidRDefault="00017CFC" w:rsidP="00017CFC">
      <w:pPr>
        <w:keepLines/>
        <w:spacing w:before="120" w:line="240" w:lineRule="auto"/>
        <w:ind w:left="1134" w:hanging="113"/>
        <w:contextualSpacing/>
      </w:pPr>
      <w:r>
        <w:t>- możliwość wydzielania miejsc czasowego gromadzenia odpadów,</w:t>
      </w:r>
    </w:p>
    <w:p w:rsidR="00017CFC" w:rsidRDefault="00017CFC" w:rsidP="00017CFC">
      <w:pPr>
        <w:keepLines/>
        <w:spacing w:before="120" w:line="240" w:lineRule="auto"/>
        <w:ind w:left="1134" w:hanging="113"/>
        <w:contextualSpacing/>
      </w:pPr>
      <w:r>
        <w:t>- możliwość przyłączenia do sieci infrastruktury technicznej,</w:t>
      </w:r>
    </w:p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t>b) zakazuje się wydzielania działek o parametrach uniemożliwiających w sposób oczywisty wykorzystanie działek na cele zgodne z przeznaczeniem terenu na którym są położone,</w:t>
      </w:r>
    </w:p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t>c) minimalne wielkości oraz minimalne szerokości frontu działki nie obowiązują w przypadku dokonywania podziałów pod drogi, ulice, place, obiekty i urządzenia infrastruktury technicznej oraz podziałów mających na celu powiększenie działek sąsiednich; minimalne wielkości oraz minimalne szerokości frontu działki nie obowiązują również w przypadku dokonywania podziałów mających na celu uregulowanie spraw własnościowych związanych z istniejącą zabudową,</w:t>
      </w:r>
    </w:p>
    <w:p w:rsidR="00017CFC" w:rsidRDefault="00017CFC" w:rsidP="00017CFC">
      <w:pPr>
        <w:keepLines/>
        <w:spacing w:before="120" w:after="120" w:line="240" w:lineRule="auto"/>
        <w:ind w:left="907" w:hanging="283"/>
        <w:contextualSpacing/>
      </w:pPr>
      <w:r>
        <w:t>d) zakazuje się wydzielania nowych działek budowlanych o powierzchni mniejszej niż:</w:t>
      </w:r>
    </w:p>
    <w:tbl>
      <w:tblPr>
        <w:tblW w:w="9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550"/>
        <w:gridCol w:w="240"/>
        <w:gridCol w:w="5520"/>
      </w:tblGrid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MN, MN(z), MN.ZZ: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mieszkaniowej jednorodzinnej,</w:t>
            </w:r>
          </w:p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RM, RM(z), RM.ZZ: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1000 m</w:t>
            </w:r>
            <w:r>
              <w:rPr>
                <w:vertAlign w:val="superscript"/>
              </w:rPr>
              <w:t xml:space="preserve">2 </w:t>
            </w:r>
            <w:r>
              <w:t>– dla zabudowy zagrodowej,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MU1: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300 m</w:t>
            </w:r>
            <w:r>
              <w:rPr>
                <w:vertAlign w:val="superscript"/>
              </w:rPr>
              <w:t xml:space="preserve">2 </w:t>
            </w:r>
            <w:r>
              <w:t>– dla zabudowy mieszkaniowej,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200 m2 – dla zabudowy usługowej,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mieszkaniowo-usługowej,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MU2: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zabudowy mieszkaniowej i usługowej,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mieszkaniowo-usługowej,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MU3,MU3(z),MU3.ZZ: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mieszkaniowej jednorodzinnej i usługowej,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800 m</w:t>
            </w:r>
            <w:r>
              <w:rPr>
                <w:vertAlign w:val="superscript"/>
              </w:rPr>
              <w:t xml:space="preserve">2 </w:t>
            </w:r>
            <w:r>
              <w:t>– dla zabudowy mieszkaniowo-usługowej,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MW: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 xml:space="preserve">2 </w:t>
            </w:r>
            <w:r>
              <w:t>– dla zabudowy mieszkaniowej wielorodzinnej,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usługowej,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UP: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UC, UC(z):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2000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P: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5000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UT1, UT1.ZZ: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indywidualnych obiektów rekreacyjnych i letniskowych,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 xml:space="preserve">2 </w:t>
            </w:r>
            <w:r>
              <w:t xml:space="preserve">– dla hoteli, moteli, pensjonatów, </w:t>
            </w:r>
            <w:proofErr w:type="spellStart"/>
            <w:r>
              <w:t>domówwycieczkowych</w:t>
            </w:r>
            <w:proofErr w:type="spellEnd"/>
            <w:r>
              <w:t xml:space="preserve"> i schronisk,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5000 m</w:t>
            </w:r>
            <w:r>
              <w:rPr>
                <w:vertAlign w:val="superscript"/>
              </w:rPr>
              <w:t xml:space="preserve">2 </w:t>
            </w:r>
            <w:r>
              <w:t>– dla kempingów i pól biwakowych,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obiektów usług z zakresu handlu i gastronomii,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UT2: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 xml:space="preserve">2 </w:t>
            </w:r>
            <w:r>
              <w:t>– dla hoteli, moteli i pensjonatów,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lastRenderedPageBreak/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obiektów usług z zakresu handlu i gastronomii,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US1: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 xml:space="preserve">2 </w:t>
            </w:r>
            <w:r>
              <w:t>– dla hoteli,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obiektów usług z zakresu handlu i gastronomii,</w:t>
            </w:r>
          </w:p>
        </w:tc>
      </w:tr>
      <w:tr w:rsidR="00017CFC" w:rsidTr="009908F8">
        <w:tblPrEx>
          <w:tblCellMar>
            <w:top w:w="0" w:type="dxa"/>
            <w:bottom w:w="0" w:type="dxa"/>
          </w:tblCellMar>
        </w:tblPrEx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US2: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1000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</w:tbl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t>e) zakazuje się wydzielania działek budowlanych o </w:t>
      </w:r>
      <w:proofErr w:type="spellStart"/>
      <w:r>
        <w:t>szerokosci</w:t>
      </w:r>
      <w:proofErr w:type="spellEnd"/>
      <w:r>
        <w:t xml:space="preserve"> frontu działki mniejszej niż 5 metrów,</w:t>
      </w:r>
    </w:p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t xml:space="preserve">f) ustala się kąt nachylenia granicy wydzielanych działek budowlanych w stosunku do pasa drogowego nie mniejszy </w:t>
      </w:r>
      <w:proofErr w:type="spellStart"/>
      <w:r>
        <w:t>niz</w:t>
      </w:r>
      <w:proofErr w:type="spellEnd"/>
      <w:r>
        <w:t xml:space="preserve"> 1º i nie większy </w:t>
      </w:r>
      <w:proofErr w:type="spellStart"/>
      <w:r>
        <w:t>niz</w:t>
      </w:r>
      <w:proofErr w:type="spellEnd"/>
      <w:r>
        <w:t xml:space="preserve"> 90º.</w:t>
      </w:r>
    </w:p>
    <w:p w:rsidR="00017CFC" w:rsidRPr="00FC4779" w:rsidRDefault="00017CFC" w:rsidP="00017CFC">
      <w:pPr>
        <w:pStyle w:val="Akapitzlist"/>
        <w:spacing w:before="100" w:beforeAutospacing="1" w:after="100" w:afterAutospacing="1"/>
        <w:ind w:left="0"/>
        <w:jc w:val="both"/>
        <w:rPr>
          <w:b/>
        </w:rPr>
      </w:pPr>
    </w:p>
    <w:sectPr w:rsidR="00017CFC" w:rsidRPr="00FC4779" w:rsidSect="00017CFC">
      <w:type w:val="continuous"/>
      <w:pgSz w:w="11905" w:h="16837"/>
      <w:pgMar w:top="709" w:right="1144" w:bottom="1440" w:left="568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79"/>
    <w:rsid w:val="00017CFC"/>
    <w:rsid w:val="00746FA5"/>
    <w:rsid w:val="008F55ED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63F3-D9A3-4762-9521-C58FA5E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7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dcterms:created xsi:type="dcterms:W3CDTF">2017-09-05T08:50:00Z</dcterms:created>
  <dcterms:modified xsi:type="dcterms:W3CDTF">2017-09-05T08:50:00Z</dcterms:modified>
</cp:coreProperties>
</file>