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– (tekst jednolity Dz. U. z </w:t>
                            </w:r>
                            <w:bookmarkStart w:id="0" w:name="_GoBack"/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2017</w:t>
                            </w:r>
                            <w:bookmarkEnd w:id="0"/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1579)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0920DB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robót geodezyjnych na rzecz</w:t>
                            </w:r>
                            <w:r w:rsidR="009C2E2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– (tekst jednolity Dz. U. z 2017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1579)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0920DB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robót geodezyjnych na rzecz</w:t>
                      </w:r>
                      <w:r w:rsidR="009C2E2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0920DB">
                              <w:rPr>
                                <w:rStyle w:val="FontStyle39"/>
                              </w:rPr>
                              <w:t>rzez Zamawiającego: IPM-G.271.4.2018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0920DB">
                        <w:rPr>
                          <w:rStyle w:val="FontStyle39"/>
                        </w:rPr>
                        <w:t>rzez Zamawiającego: IPM-G.271.4.2018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>mgr Alina Siwonia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>mgr Alina Siwonia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517551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 xml:space="preserve">1. </w:t>
      </w:r>
      <w:r w:rsidR="00517551" w:rsidRPr="00AD0015">
        <w:rPr>
          <w:rFonts w:ascii="Century Gothic" w:hAnsi="Century Gothic"/>
          <w:b/>
          <w:sz w:val="20"/>
          <w:szCs w:val="20"/>
        </w:rPr>
        <w:tab/>
      </w:r>
      <w:r w:rsidR="00517551" w:rsidRPr="00AD0015">
        <w:rPr>
          <w:rFonts w:ascii="Century Gothic" w:hAnsi="Century Gothic"/>
          <w:sz w:val="20"/>
          <w:szCs w:val="20"/>
        </w:rPr>
        <w:t xml:space="preserve">Wykonanie </w:t>
      </w:r>
      <w:r w:rsidRPr="00AD0015">
        <w:rPr>
          <w:rFonts w:ascii="Century Gothic" w:hAnsi="Century Gothic"/>
          <w:sz w:val="20"/>
          <w:szCs w:val="20"/>
        </w:rPr>
        <w:t>opracowania geodezyjnego dotyczącego podziału nieruchomości, położonej w miejscowośc</w:t>
      </w:r>
      <w:r w:rsidR="00FA5F6C" w:rsidRPr="00AD0015">
        <w:rPr>
          <w:rFonts w:ascii="Century Gothic" w:hAnsi="Century Gothic"/>
          <w:sz w:val="20"/>
          <w:szCs w:val="20"/>
        </w:rPr>
        <w:t xml:space="preserve">i </w:t>
      </w:r>
      <w:r w:rsidR="000920DB">
        <w:rPr>
          <w:rFonts w:ascii="Century Gothic" w:hAnsi="Century Gothic"/>
          <w:sz w:val="20"/>
          <w:szCs w:val="20"/>
        </w:rPr>
        <w:t>Raków, obręb 0018</w:t>
      </w:r>
      <w:r w:rsidR="00FA5F6C" w:rsidRPr="00AD0015">
        <w:rPr>
          <w:rFonts w:ascii="Century Gothic" w:hAnsi="Century Gothic"/>
          <w:sz w:val="20"/>
          <w:szCs w:val="20"/>
        </w:rPr>
        <w:t>, dla której</w:t>
      </w:r>
      <w:r w:rsidRPr="00AD0015">
        <w:rPr>
          <w:rFonts w:ascii="Century Gothic" w:hAnsi="Century Gothic"/>
          <w:sz w:val="20"/>
          <w:szCs w:val="20"/>
        </w:rPr>
        <w:t xml:space="preserve"> prowadzona jest księga wieczysta KI1L</w:t>
      </w:r>
      <w:r w:rsidR="00FA5F6C" w:rsidRPr="00AD0015">
        <w:rPr>
          <w:rFonts w:ascii="Century Gothic" w:hAnsi="Century Gothic"/>
          <w:sz w:val="20"/>
          <w:szCs w:val="20"/>
        </w:rPr>
        <w:t>/</w:t>
      </w:r>
      <w:r w:rsidR="000920DB">
        <w:rPr>
          <w:rFonts w:ascii="Century Gothic" w:hAnsi="Century Gothic"/>
          <w:sz w:val="20"/>
          <w:szCs w:val="20"/>
        </w:rPr>
        <w:t>00169102/4</w:t>
      </w:r>
      <w:r w:rsidRPr="00AD0015">
        <w:rPr>
          <w:rFonts w:ascii="Century Gothic" w:hAnsi="Century Gothic"/>
          <w:sz w:val="20"/>
          <w:szCs w:val="20"/>
        </w:rPr>
        <w:t>, oznaczonej w ewidencji</w:t>
      </w:r>
      <w:r w:rsidR="00FA5F6C" w:rsidRPr="00AD0015">
        <w:rPr>
          <w:rFonts w:ascii="Century Gothic" w:hAnsi="Century Gothic"/>
          <w:sz w:val="20"/>
          <w:szCs w:val="20"/>
        </w:rPr>
        <w:t xml:space="preserve"> gruntów i budynków </w:t>
      </w:r>
      <w:r w:rsidR="000920DB">
        <w:rPr>
          <w:rFonts w:ascii="Century Gothic" w:hAnsi="Century Gothic"/>
          <w:sz w:val="20"/>
          <w:szCs w:val="20"/>
        </w:rPr>
        <w:t>jako działka nr 2668/2</w:t>
      </w:r>
      <w:r w:rsidRPr="00AD0015">
        <w:rPr>
          <w:rFonts w:ascii="Century Gothic" w:hAnsi="Century Gothic"/>
          <w:sz w:val="20"/>
          <w:szCs w:val="20"/>
        </w:rPr>
        <w:t xml:space="preserve">, </w:t>
      </w:r>
      <w:r w:rsidR="00FA5F6C" w:rsidRPr="00AD0015">
        <w:rPr>
          <w:rFonts w:ascii="Century Gothic" w:hAnsi="Century Gothic"/>
          <w:b/>
          <w:sz w:val="20"/>
          <w:szCs w:val="20"/>
        </w:rPr>
        <w:t>w celu wydzielenia działki</w:t>
      </w:r>
      <w:r w:rsidR="00FA5F6C" w:rsidRPr="00AD0015">
        <w:rPr>
          <w:rFonts w:ascii="Century Gothic" w:hAnsi="Century Gothic"/>
          <w:sz w:val="20"/>
          <w:szCs w:val="20"/>
        </w:rPr>
        <w:t xml:space="preserve"> </w:t>
      </w:r>
      <w:r w:rsidR="000920DB">
        <w:rPr>
          <w:rFonts w:ascii="Century Gothic" w:hAnsi="Century Gothic"/>
          <w:b/>
          <w:bCs/>
          <w:sz w:val="20"/>
          <w:szCs w:val="20"/>
        </w:rPr>
        <w:t xml:space="preserve">na poprawę zagospodarowania nieruchomości sąsiedniej </w:t>
      </w:r>
      <w:r w:rsidR="00FF1703">
        <w:rPr>
          <w:rFonts w:ascii="Century Gothic" w:hAnsi="Century Gothic"/>
          <w:b/>
          <w:bCs/>
          <w:sz w:val="20"/>
          <w:szCs w:val="20"/>
        </w:rPr>
        <w:t xml:space="preserve">- </w:t>
      </w:r>
      <w:r w:rsidR="000920DB">
        <w:rPr>
          <w:rFonts w:ascii="Century Gothic" w:hAnsi="Century Gothic"/>
          <w:b/>
          <w:bCs/>
          <w:sz w:val="20"/>
          <w:szCs w:val="20"/>
        </w:rPr>
        <w:t xml:space="preserve">działki nr </w:t>
      </w:r>
      <w:proofErr w:type="spellStart"/>
      <w:r w:rsidR="000920DB">
        <w:rPr>
          <w:rFonts w:ascii="Century Gothic" w:hAnsi="Century Gothic"/>
          <w:b/>
          <w:bCs/>
          <w:sz w:val="20"/>
          <w:szCs w:val="20"/>
        </w:rPr>
        <w:t>ewid</w:t>
      </w:r>
      <w:proofErr w:type="spellEnd"/>
      <w:r w:rsidR="000920DB">
        <w:rPr>
          <w:rFonts w:ascii="Century Gothic" w:hAnsi="Century Gothic"/>
          <w:b/>
          <w:bCs/>
          <w:sz w:val="20"/>
          <w:szCs w:val="20"/>
        </w:rPr>
        <w:t>. 2668/1</w:t>
      </w:r>
      <w:r w:rsidRPr="00AD0015">
        <w:rPr>
          <w:rFonts w:ascii="Century Gothic" w:hAnsi="Century Gothic"/>
          <w:b/>
          <w:bCs/>
          <w:sz w:val="20"/>
          <w:szCs w:val="20"/>
        </w:rPr>
        <w:t>.</w:t>
      </w:r>
    </w:p>
    <w:p w:rsidR="002701D7" w:rsidRPr="00AD0015" w:rsidRDefault="00E16A24" w:rsidP="00517551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b/>
          <w:bCs/>
          <w:sz w:val="20"/>
          <w:szCs w:val="20"/>
        </w:rPr>
        <w:t xml:space="preserve">1.1 </w:t>
      </w:r>
      <w:r w:rsidR="00517551" w:rsidRPr="00AD0015">
        <w:rPr>
          <w:rFonts w:ascii="Century Gothic" w:hAnsi="Century Gothic"/>
          <w:b/>
          <w:bCs/>
          <w:sz w:val="20"/>
          <w:szCs w:val="20"/>
        </w:rPr>
        <w:tab/>
      </w:r>
      <w:r w:rsidRPr="00AD0015">
        <w:rPr>
          <w:rFonts w:ascii="Century Gothic" w:hAnsi="Century Gothic"/>
          <w:sz w:val="20"/>
          <w:szCs w:val="20"/>
        </w:rPr>
        <w:t>Przedmiot zamówienia obejmuje:</w:t>
      </w:r>
    </w:p>
    <w:p w:rsidR="00FA5F6C" w:rsidRPr="00AD0015" w:rsidRDefault="002701D7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</w:t>
      </w:r>
      <w:r w:rsidR="00E16A24" w:rsidRPr="00AD0015">
        <w:rPr>
          <w:rFonts w:ascii="Century Gothic" w:hAnsi="Century Gothic"/>
          <w:sz w:val="20"/>
          <w:szCs w:val="20"/>
        </w:rPr>
        <w:t>sporządzenie wstępnego projektu podziału nieruchomości pod kątem zgodności proponowanego podziału z ustaleniami planu miejscowego;</w:t>
      </w:r>
    </w:p>
    <w:p w:rsidR="00E16A24" w:rsidRPr="00AD0015" w:rsidRDefault="00FA5F6C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</w:t>
      </w:r>
      <w:r w:rsidR="00E16A24" w:rsidRPr="00AD0015">
        <w:rPr>
          <w:rFonts w:ascii="Century Gothic" w:hAnsi="Century Gothic"/>
          <w:sz w:val="20"/>
          <w:szCs w:val="20"/>
        </w:rPr>
        <w:t>opracowanie kompletnej dokumentacji geodezyjnej z projektem podziału nieruchomości, przyjętej do państwowego zasobu geodezyjnego i kartograficznego (dla Zamawiającego w liczbie po 6 egzemplarzy map z projektem podziału i wykazów zmian danych ewidencyjnych dotyczących działki);</w:t>
      </w:r>
    </w:p>
    <w:p w:rsidR="00E16A24" w:rsidRPr="00AD0015" w:rsidRDefault="00E16A24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dokonanie stabilizacji na gruncie punktów granicznych podziałowych </w:t>
      </w:r>
      <w:proofErr w:type="spellStart"/>
      <w:r w:rsidRPr="00AD0015">
        <w:rPr>
          <w:rFonts w:ascii="Century Gothic" w:hAnsi="Century Gothic"/>
          <w:sz w:val="20"/>
          <w:szCs w:val="20"/>
        </w:rPr>
        <w:t>granicznikami</w:t>
      </w:r>
      <w:proofErr w:type="spellEnd"/>
      <w:r w:rsidRPr="00AD0015">
        <w:rPr>
          <w:rFonts w:ascii="Century Gothic" w:hAnsi="Century Gothic"/>
          <w:sz w:val="20"/>
          <w:szCs w:val="20"/>
        </w:rPr>
        <w:t xml:space="preserve"> betonowymi wraz ze sporządzeniem protokołu zgodnie z § 15 pkt 1 rozporządzenia w sprawie sposobu i trybu dokonywania podziałów nieruchomości oraz okazania granic i punktów na gruncie w obecności pracownika </w:t>
      </w:r>
      <w:r w:rsidR="00FA5F6C" w:rsidRPr="00AD0015">
        <w:rPr>
          <w:rFonts w:ascii="Century Gothic" w:hAnsi="Century Gothic"/>
          <w:sz w:val="20"/>
          <w:szCs w:val="20"/>
        </w:rPr>
        <w:t>Referatu Inwestycji, Gospodarki Przestrzennej i Mienia Komunalnego Urzędu Gminy Raków.</w:t>
      </w:r>
    </w:p>
    <w:p w:rsidR="00FA5F6C" w:rsidRPr="00AD0015" w:rsidRDefault="00FA5F6C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- przygotowanie wniosków o ujawnienie podziału nieruchomości w ewidencji gruntów oraz w księdze wieczystej</w:t>
      </w:r>
    </w:p>
    <w:p w:rsidR="002701D7" w:rsidRPr="00AD0015" w:rsidRDefault="00E16A24" w:rsidP="0051755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Podziału należy dokonać zgodnie z:</w:t>
      </w:r>
    </w:p>
    <w:p w:rsidR="002701D7" w:rsidRPr="00AD0015" w:rsidRDefault="002701D7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</w:t>
      </w:r>
      <w:r w:rsidR="00E16A24" w:rsidRPr="00AD0015">
        <w:rPr>
          <w:rFonts w:ascii="Century Gothic" w:hAnsi="Century Gothic"/>
          <w:sz w:val="20"/>
          <w:szCs w:val="20"/>
        </w:rPr>
        <w:t xml:space="preserve">Koncepcją podziału nieruchomości – </w:t>
      </w:r>
      <w:r w:rsidR="00E16A24" w:rsidRPr="00AD0015">
        <w:rPr>
          <w:rFonts w:ascii="Century Gothic" w:hAnsi="Century Gothic"/>
          <w:b/>
          <w:sz w:val="20"/>
          <w:szCs w:val="20"/>
        </w:rPr>
        <w:t>załącznik nr 1</w:t>
      </w:r>
    </w:p>
    <w:p w:rsidR="002701D7" w:rsidRPr="00AD0015" w:rsidRDefault="002701D7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 w:cs="Arial"/>
          <w:sz w:val="20"/>
          <w:szCs w:val="20"/>
        </w:rPr>
        <w:t xml:space="preserve">- </w:t>
      </w:r>
      <w:r w:rsidR="00E16A24" w:rsidRPr="00AD0015">
        <w:rPr>
          <w:rFonts w:ascii="Century Gothic" w:hAnsi="Century Gothic" w:cs="Arial"/>
          <w:sz w:val="20"/>
          <w:szCs w:val="20"/>
        </w:rPr>
        <w:t>Z</w:t>
      </w:r>
      <w:r w:rsidR="00E16A24" w:rsidRPr="00AD0015">
        <w:rPr>
          <w:rFonts w:ascii="Century Gothic" w:hAnsi="Century Gothic"/>
          <w:sz w:val="20"/>
          <w:szCs w:val="20"/>
        </w:rPr>
        <w:t>mianą nr 3 Miejscowego Planu Zagospodarowa</w:t>
      </w:r>
      <w:r w:rsidR="00517551" w:rsidRPr="00AD0015">
        <w:rPr>
          <w:rFonts w:ascii="Century Gothic" w:hAnsi="Century Gothic"/>
          <w:sz w:val="20"/>
          <w:szCs w:val="20"/>
        </w:rPr>
        <w:t>nia Przestrzennego Gminy Raków -</w:t>
      </w:r>
      <w:r w:rsidR="00E16A24" w:rsidRPr="00AD0015">
        <w:rPr>
          <w:rFonts w:ascii="Century Gothic" w:hAnsi="Century Gothic"/>
          <w:b/>
          <w:sz w:val="20"/>
          <w:szCs w:val="20"/>
        </w:rPr>
        <w:t xml:space="preserve"> załącznik nr 2</w:t>
      </w:r>
    </w:p>
    <w:p w:rsidR="00E16A24" w:rsidRPr="00AD0015" w:rsidRDefault="002701D7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</w:t>
      </w:r>
      <w:r w:rsidR="00E16A24" w:rsidRPr="00AD0015">
        <w:rPr>
          <w:rFonts w:ascii="Century Gothic" w:hAnsi="Century Gothic"/>
          <w:sz w:val="20"/>
          <w:szCs w:val="20"/>
        </w:rPr>
        <w:t>Art. 92-100 ustawy z dnia 21 sierpnia 1997 r. o gospodarce nieruchomościami (tekst jednolity Dz. U. z 2015 r. poz. 1774 ze zm.) oraz rozporządzeniem Rady Ministrów z dnia 7 grudnia 2004 r. w sprawie sposobu i trybu dokonywania podziałów nieruchomości (Dz. U. z 2004 r. Nr 268, poz. 2663).</w:t>
      </w: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3B5149" w:rsidRDefault="005F4110" w:rsidP="005F4110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 xml:space="preserve">2. </w:t>
      </w:r>
      <w:r w:rsidRPr="00AD0015">
        <w:rPr>
          <w:rFonts w:ascii="Century Gothic" w:hAnsi="Century Gothic"/>
          <w:b/>
          <w:sz w:val="20"/>
          <w:szCs w:val="20"/>
        </w:rPr>
        <w:tab/>
      </w:r>
      <w:r w:rsidR="003B5149" w:rsidRPr="003B5149">
        <w:rPr>
          <w:rFonts w:ascii="Century Gothic" w:hAnsi="Century Gothic"/>
          <w:sz w:val="20"/>
          <w:szCs w:val="20"/>
        </w:rPr>
        <w:t>Wznowi</w:t>
      </w:r>
      <w:r w:rsidR="003B5149">
        <w:rPr>
          <w:rFonts w:ascii="Century Gothic" w:hAnsi="Century Gothic"/>
          <w:sz w:val="20"/>
          <w:szCs w:val="20"/>
        </w:rPr>
        <w:t>enie/wyznaczenie/ustalenie</w:t>
      </w:r>
      <w:r w:rsidR="003B5149" w:rsidRPr="003B5149">
        <w:rPr>
          <w:rFonts w:ascii="Century Gothic" w:hAnsi="Century Gothic"/>
          <w:sz w:val="20"/>
          <w:szCs w:val="20"/>
        </w:rPr>
        <w:t xml:space="preserve"> g</w:t>
      </w:r>
      <w:r w:rsidR="003B5149">
        <w:rPr>
          <w:rFonts w:ascii="Century Gothic" w:hAnsi="Century Gothic"/>
          <w:sz w:val="20"/>
          <w:szCs w:val="20"/>
        </w:rPr>
        <w:t>ranic działki ewidencyjnej nr 612,</w:t>
      </w:r>
      <w:r w:rsidR="000920DB">
        <w:rPr>
          <w:rFonts w:ascii="Century Gothic" w:hAnsi="Century Gothic"/>
          <w:sz w:val="20"/>
          <w:szCs w:val="20"/>
        </w:rPr>
        <w:t xml:space="preserve"> </w:t>
      </w:r>
      <w:r w:rsidR="003B5149">
        <w:rPr>
          <w:rFonts w:ascii="Century Gothic" w:hAnsi="Century Gothic"/>
          <w:sz w:val="20"/>
          <w:szCs w:val="20"/>
        </w:rPr>
        <w:t>położonej w miejscowości Rembów</w:t>
      </w:r>
      <w:r w:rsidR="003B5149" w:rsidRPr="003B5149">
        <w:rPr>
          <w:rFonts w:ascii="Century Gothic" w:hAnsi="Century Gothic"/>
          <w:sz w:val="20"/>
          <w:szCs w:val="20"/>
        </w:rPr>
        <w:t xml:space="preserve">, w gminie Raków – drogi będącej we władaniu Gminy Raków, z działkami nr </w:t>
      </w:r>
      <w:proofErr w:type="spellStart"/>
      <w:r w:rsidR="003B5149" w:rsidRPr="003B5149">
        <w:rPr>
          <w:rFonts w:ascii="Century Gothic" w:hAnsi="Century Gothic"/>
          <w:sz w:val="20"/>
          <w:szCs w:val="20"/>
        </w:rPr>
        <w:t>nr</w:t>
      </w:r>
      <w:proofErr w:type="spellEnd"/>
      <w:r w:rsidR="003B5149" w:rsidRPr="003B514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B5149" w:rsidRPr="003B5149">
        <w:rPr>
          <w:rFonts w:ascii="Century Gothic" w:hAnsi="Century Gothic"/>
          <w:sz w:val="20"/>
          <w:szCs w:val="20"/>
        </w:rPr>
        <w:t>ewid</w:t>
      </w:r>
      <w:proofErr w:type="spellEnd"/>
      <w:r w:rsidR="003B5149" w:rsidRPr="003B5149">
        <w:rPr>
          <w:rFonts w:ascii="Century Gothic" w:hAnsi="Century Gothic"/>
          <w:sz w:val="20"/>
          <w:szCs w:val="20"/>
        </w:rPr>
        <w:t xml:space="preserve">. </w:t>
      </w:r>
      <w:r w:rsidR="003B5149">
        <w:rPr>
          <w:rFonts w:ascii="Century Gothic" w:hAnsi="Century Gothic"/>
          <w:sz w:val="20"/>
          <w:szCs w:val="20"/>
        </w:rPr>
        <w:t>215, 216, 221, 201, 225 w miejscowości Rembów, oraz z działkami 90/8, 163 w miejscowości Lipiny</w:t>
      </w:r>
      <w:r w:rsidR="000920DB">
        <w:rPr>
          <w:rFonts w:ascii="Century Gothic" w:hAnsi="Century Gothic"/>
          <w:sz w:val="20"/>
          <w:szCs w:val="20"/>
        </w:rPr>
        <w:t>,</w:t>
      </w:r>
      <w:r w:rsidR="003B5149">
        <w:rPr>
          <w:rFonts w:ascii="Century Gothic" w:hAnsi="Century Gothic"/>
          <w:sz w:val="20"/>
          <w:szCs w:val="20"/>
        </w:rPr>
        <w:t xml:space="preserve"> </w:t>
      </w:r>
      <w:r w:rsidR="003B5149" w:rsidRPr="003B5149">
        <w:rPr>
          <w:rFonts w:ascii="Century Gothic" w:hAnsi="Century Gothic"/>
          <w:sz w:val="20"/>
          <w:szCs w:val="20"/>
        </w:rPr>
        <w:t>wraz ze sporządzeniem niezbędnej dokumentacji geodezyjnej.</w:t>
      </w:r>
    </w:p>
    <w:p w:rsidR="003B5149" w:rsidRDefault="005F4110" w:rsidP="005F4110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b/>
          <w:bCs/>
          <w:sz w:val="20"/>
          <w:szCs w:val="20"/>
        </w:rPr>
        <w:t xml:space="preserve">2.1 </w:t>
      </w:r>
      <w:r w:rsidRPr="00AD0015">
        <w:rPr>
          <w:rFonts w:ascii="Century Gothic" w:hAnsi="Century Gothic"/>
          <w:b/>
          <w:bCs/>
          <w:sz w:val="20"/>
          <w:szCs w:val="20"/>
        </w:rPr>
        <w:tab/>
      </w:r>
      <w:r w:rsidR="003B5149">
        <w:rPr>
          <w:rFonts w:ascii="Century Gothic" w:hAnsi="Century Gothic"/>
          <w:sz w:val="20"/>
          <w:szCs w:val="20"/>
        </w:rPr>
        <w:t>Poprzez w</w:t>
      </w:r>
      <w:r w:rsidR="003B5149" w:rsidRPr="003B5149">
        <w:rPr>
          <w:rFonts w:ascii="Century Gothic" w:hAnsi="Century Gothic"/>
          <w:sz w:val="20"/>
          <w:szCs w:val="20"/>
        </w:rPr>
        <w:t>znowienie/wyznaczenie/ustalenie granic rozumieć należy wszystkie czynności techniczne i formalno-prawne w celu</w:t>
      </w:r>
      <w:r w:rsidR="003B5149">
        <w:rPr>
          <w:rFonts w:ascii="Century Gothic" w:hAnsi="Century Gothic"/>
          <w:sz w:val="20"/>
          <w:szCs w:val="20"/>
        </w:rPr>
        <w:t>, w zależności od potrzeb,</w:t>
      </w:r>
      <w:r w:rsidR="003B5149" w:rsidRPr="003B5149">
        <w:rPr>
          <w:rFonts w:ascii="Century Gothic" w:hAnsi="Century Gothic"/>
          <w:sz w:val="20"/>
          <w:szCs w:val="20"/>
        </w:rPr>
        <w:t xml:space="preserve"> wznowienia znaków granicznych, wyznaczenia punktów granicznych lub ustalenia przebiegu granic działek ewidencyjnych, o którym mowa w  art. 12 ust. 1 pkt. 3 </w:t>
      </w:r>
      <w:proofErr w:type="spellStart"/>
      <w:r w:rsidR="003B5149" w:rsidRPr="003B5149">
        <w:rPr>
          <w:rFonts w:ascii="Century Gothic" w:hAnsi="Century Gothic"/>
          <w:sz w:val="20"/>
          <w:szCs w:val="20"/>
        </w:rPr>
        <w:t>tiret</w:t>
      </w:r>
      <w:proofErr w:type="spellEnd"/>
      <w:r w:rsidR="003B5149" w:rsidRPr="003B5149">
        <w:rPr>
          <w:rFonts w:ascii="Century Gothic" w:hAnsi="Century Gothic"/>
          <w:sz w:val="20"/>
          <w:szCs w:val="20"/>
        </w:rPr>
        <w:t xml:space="preserve"> b ustawy z dnia 17 maja 1989 r. - Prawo geodezyjne i kartograficzne, wraz ze stabilizacją punktów granicznych wznowionych granic stosownie do § 17 rozporządzenia Ministrów Spraw Wewnętrznych i Administracji oraz Rolnictwa i Gospodarki Żywnościowej z dnia 14 kwietnia 1999 r. w sprawie rozgraniczania nieruchomości.</w:t>
      </w: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125920" w:rsidRDefault="00E16A24" w:rsidP="000920D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0920DB" w:rsidRPr="00125920">
        <w:rPr>
          <w:rFonts w:ascii="Century Gothic" w:hAnsi="Century Gothic"/>
          <w:sz w:val="20"/>
          <w:szCs w:val="20"/>
        </w:rPr>
        <w:t>w pkt. 1 opisu</w:t>
      </w:r>
      <w:r w:rsidRPr="00125920">
        <w:rPr>
          <w:rFonts w:ascii="Century Gothic" w:hAnsi="Century Gothic"/>
          <w:sz w:val="20"/>
          <w:szCs w:val="20"/>
        </w:rPr>
        <w:t xml:space="preserve"> przedmiotu zamówienia winny zostać wykonane w terminie do </w:t>
      </w:r>
      <w:r w:rsidR="000920DB" w:rsidRPr="00125920">
        <w:rPr>
          <w:rFonts w:ascii="Century Gothic" w:hAnsi="Century Gothic"/>
          <w:sz w:val="20"/>
          <w:szCs w:val="20"/>
        </w:rPr>
        <w:t>6</w:t>
      </w:r>
      <w:r w:rsidR="00FA5F6C" w:rsidRPr="00125920">
        <w:rPr>
          <w:rFonts w:ascii="Century Gothic" w:hAnsi="Century Gothic"/>
          <w:sz w:val="20"/>
          <w:szCs w:val="20"/>
        </w:rPr>
        <w:t xml:space="preserve"> miesięcy</w:t>
      </w:r>
      <w:r w:rsidRPr="00125920">
        <w:rPr>
          <w:rFonts w:ascii="Century Gothic" w:hAnsi="Century Gothic"/>
          <w:sz w:val="20"/>
          <w:szCs w:val="20"/>
        </w:rPr>
        <w:t xml:space="preserve"> od momentu podpisania umowy.</w:t>
      </w:r>
    </w:p>
    <w:p w:rsidR="000920DB" w:rsidRPr="00FF1703" w:rsidRDefault="000920DB" w:rsidP="00E16A24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>Prace określone w pkt. 2 opisu przedmiotu zamówienia winny zostać wykonane w terminie do 3 miesięcy od momentu podpisania umowy.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0920DB">
        <w:rPr>
          <w:rFonts w:ascii="Century Gothic" w:hAnsi="Century Gothic" w:cs="Times New Roman"/>
          <w:b/>
          <w:sz w:val="20"/>
          <w:szCs w:val="20"/>
        </w:rPr>
        <w:t>24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0920DB">
        <w:rPr>
          <w:rFonts w:ascii="Century Gothic" w:hAnsi="Century Gothic" w:cs="Times New Roman"/>
          <w:b/>
          <w:sz w:val="20"/>
          <w:szCs w:val="20"/>
        </w:rPr>
        <w:t>kwietnia</w:t>
      </w:r>
      <w:r w:rsidR="003E654B">
        <w:rPr>
          <w:rFonts w:ascii="Century Gothic" w:hAnsi="Century Gothic" w:cs="Times New Roman"/>
          <w:b/>
          <w:sz w:val="20"/>
          <w:szCs w:val="20"/>
        </w:rPr>
        <w:t xml:space="preserve"> 2018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0920DB">
        <w:rPr>
          <w:rFonts w:ascii="Century Gothic" w:hAnsi="Century Gothic" w:cs="Times New Roman"/>
          <w:b/>
          <w:sz w:val="20"/>
          <w:szCs w:val="20"/>
        </w:rPr>
        <w:t>wtorek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w sekretariacie Urzędu Gminy w Rakowie, pokój 14, ul Ogrodowa 1, 26-035 Raków . 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zaadresowana do Zamawiającego, na adres podany na stronie tytułowej niniejszego zamówienia,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0920DB">
        <w:rPr>
          <w:rFonts w:ascii="Century Gothic" w:eastAsia="Times New Roman" w:hAnsi="Century Gothic" w:cs="Times New Roman"/>
          <w:b/>
          <w:bCs/>
          <w:sz w:val="20"/>
          <w:szCs w:val="20"/>
        </w:rPr>
        <w:t>wykonanie robót geodezyjnych na rzecz Gminy Raków – IPM-G.271.4.2018</w:t>
      </w:r>
      <w:r w:rsidRPr="00AD0015">
        <w:rPr>
          <w:rFonts w:ascii="Century Gothic" w:hAnsi="Century Gothic" w:cs="Times New Roman"/>
          <w:sz w:val="20"/>
          <w:szCs w:val="20"/>
        </w:rPr>
        <w:t xml:space="preserve">” oraz „nie otwierać przed </w:t>
      </w:r>
      <w:r w:rsidR="009E406B">
        <w:rPr>
          <w:rFonts w:ascii="Century Gothic" w:hAnsi="Century Gothic" w:cs="Times New Roman"/>
          <w:b/>
          <w:sz w:val="20"/>
          <w:szCs w:val="20"/>
        </w:rPr>
        <w:t>24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9E406B">
        <w:rPr>
          <w:rFonts w:ascii="Century Gothic" w:hAnsi="Century Gothic" w:cs="Times New Roman"/>
          <w:b/>
          <w:sz w:val="20"/>
          <w:szCs w:val="20"/>
        </w:rPr>
        <w:t>kwietnia</w:t>
      </w:r>
      <w:r w:rsidR="003E654B">
        <w:rPr>
          <w:rFonts w:ascii="Century Gothic" w:hAnsi="Century Gothic" w:cs="Times New Roman"/>
          <w:b/>
          <w:sz w:val="20"/>
          <w:szCs w:val="20"/>
        </w:rPr>
        <w:t xml:space="preserve"> 2018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9E406B">
        <w:rPr>
          <w:rFonts w:ascii="Century Gothic" w:hAnsi="Century Gothic" w:cs="Times New Roman"/>
          <w:b/>
          <w:sz w:val="20"/>
          <w:szCs w:val="20"/>
        </w:rPr>
        <w:t>wtorek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9E406B">
        <w:rPr>
          <w:rFonts w:ascii="Century Gothic" w:hAnsi="Century Gothic" w:cs="Times New Roman"/>
          <w:b/>
          <w:sz w:val="20"/>
          <w:szCs w:val="20"/>
        </w:rPr>
        <w:t>załącznik nr 3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AD0015">
        <w:rPr>
          <w:rFonts w:ascii="Century Gothic" w:eastAsia="Times New Roman" w:hAnsi="Century Gothic" w:cs="Times New Roman"/>
          <w:sz w:val="20"/>
          <w:szCs w:val="20"/>
        </w:rPr>
        <w:t xml:space="preserve">Wzór umowy stanowi 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>załącznik</w:t>
      </w:r>
      <w:r w:rsidR="009E406B">
        <w:rPr>
          <w:rFonts w:ascii="Century Gothic" w:eastAsia="Times New Roman" w:hAnsi="Century Gothic" w:cs="Times New Roman"/>
          <w:b/>
          <w:sz w:val="20"/>
          <w:szCs w:val="20"/>
        </w:rPr>
        <w:t xml:space="preserve"> nr 4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Gmina Raków zastrzega sobie prawo zakończenia postępowania bez zawarc</w:t>
      </w:r>
      <w:r w:rsidR="006848EF">
        <w:rPr>
          <w:rFonts w:ascii="Century Gothic" w:eastAsia="Times New Roman" w:hAnsi="Century Gothic" w:cs="Times New Roman"/>
          <w:sz w:val="20"/>
          <w:szCs w:val="20"/>
        </w:rPr>
        <w:t>ia umowy, na każdym jego etapie.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Pr="00AD0015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Koncepcja podziału nieruchomości </w:t>
      </w:r>
      <w:r w:rsidR="009E406B">
        <w:rPr>
          <w:rFonts w:ascii="Century Gothic" w:hAnsi="Century Gothic"/>
          <w:sz w:val="20"/>
          <w:szCs w:val="20"/>
        </w:rPr>
        <w:t>2668/2</w:t>
      </w:r>
      <w:r w:rsidRPr="00AD0015">
        <w:rPr>
          <w:rFonts w:ascii="Century Gothic" w:hAnsi="Century Gothic"/>
          <w:sz w:val="20"/>
          <w:szCs w:val="20"/>
        </w:rPr>
        <w:t xml:space="preserve"> w miejscowości </w:t>
      </w:r>
      <w:r w:rsidR="009E406B">
        <w:rPr>
          <w:rFonts w:ascii="Century Gothic" w:hAnsi="Century Gothic"/>
          <w:sz w:val="20"/>
          <w:szCs w:val="20"/>
        </w:rPr>
        <w:t>Raków</w:t>
      </w:r>
      <w:r w:rsidRPr="00AD0015">
        <w:rPr>
          <w:rFonts w:ascii="Century Gothic" w:hAnsi="Century Gothic"/>
          <w:sz w:val="20"/>
          <w:szCs w:val="20"/>
        </w:rPr>
        <w:t>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Załącznik graficzny oraz § 12 Miejscowego Planu Zagospodarowania Przestrzennego</w:t>
      </w:r>
      <w:r w:rsidR="009E406B">
        <w:rPr>
          <w:rFonts w:ascii="Century Gothic" w:hAnsi="Century Gothic"/>
          <w:sz w:val="20"/>
          <w:szCs w:val="20"/>
        </w:rPr>
        <w:t xml:space="preserve"> gm. Raków dotyczące działki 2668/2</w:t>
      </w:r>
      <w:r w:rsidRPr="00AD0015">
        <w:rPr>
          <w:rFonts w:ascii="Century Gothic" w:hAnsi="Century Gothic"/>
          <w:sz w:val="20"/>
          <w:szCs w:val="20"/>
        </w:rPr>
        <w:t xml:space="preserve"> w miejscowości </w:t>
      </w:r>
      <w:r w:rsidR="009E406B">
        <w:rPr>
          <w:rFonts w:ascii="Century Gothic" w:hAnsi="Century Gothic"/>
          <w:sz w:val="20"/>
          <w:szCs w:val="20"/>
        </w:rPr>
        <w:t>Raków</w:t>
      </w:r>
      <w:r w:rsidRPr="00AD0015">
        <w:rPr>
          <w:rFonts w:ascii="Century Gothic" w:hAnsi="Century Gothic"/>
          <w:sz w:val="20"/>
          <w:szCs w:val="20"/>
        </w:rPr>
        <w:t>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39" w:rsidRDefault="000A6D39">
      <w:r>
        <w:separator/>
      </w:r>
    </w:p>
  </w:endnote>
  <w:endnote w:type="continuationSeparator" w:id="0">
    <w:p w:rsidR="000A6D39" w:rsidRDefault="000A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E654B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BD00AC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robót geodezyjnych na rzecz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E654B">
      <w:rPr>
        <w:rStyle w:val="FontStyle43"/>
        <w:noProof/>
      </w:rPr>
      <w:t>3</w:t>
    </w:r>
    <w:r>
      <w:rPr>
        <w:rStyle w:val="FontStyle43"/>
      </w:rPr>
      <w:fldChar w:fldCharType="end"/>
    </w:r>
  </w:p>
  <w:p w:rsidR="00BD00AC" w:rsidRDefault="00BD00AC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robót geodezyjnych na rzecz Gminy Raków</w:t>
    </w:r>
  </w:p>
  <w:p w:rsidR="00F337C0" w:rsidRDefault="00F337C0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39" w:rsidRDefault="000A6D39">
      <w:r>
        <w:separator/>
      </w:r>
    </w:p>
  </w:footnote>
  <w:footnote w:type="continuationSeparator" w:id="0">
    <w:p w:rsidR="000A6D39" w:rsidRDefault="000A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46CC4"/>
    <w:rsid w:val="000920DB"/>
    <w:rsid w:val="000A6D39"/>
    <w:rsid w:val="000C3D45"/>
    <w:rsid w:val="000C7C78"/>
    <w:rsid w:val="00125920"/>
    <w:rsid w:val="001467A1"/>
    <w:rsid w:val="001641CF"/>
    <w:rsid w:val="00185173"/>
    <w:rsid w:val="001A7810"/>
    <w:rsid w:val="001B1D22"/>
    <w:rsid w:val="001D3C53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5C8C"/>
    <w:rsid w:val="003432F5"/>
    <w:rsid w:val="00393FA0"/>
    <w:rsid w:val="003A2261"/>
    <w:rsid w:val="003B2675"/>
    <w:rsid w:val="003B5149"/>
    <w:rsid w:val="003E654B"/>
    <w:rsid w:val="004738BE"/>
    <w:rsid w:val="00477EBD"/>
    <w:rsid w:val="004844D8"/>
    <w:rsid w:val="00502DEF"/>
    <w:rsid w:val="00517551"/>
    <w:rsid w:val="00583320"/>
    <w:rsid w:val="00591DE4"/>
    <w:rsid w:val="005F4110"/>
    <w:rsid w:val="005F5255"/>
    <w:rsid w:val="0062585C"/>
    <w:rsid w:val="00631676"/>
    <w:rsid w:val="00636BBB"/>
    <w:rsid w:val="00672C9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31BC7"/>
    <w:rsid w:val="00840ED7"/>
    <w:rsid w:val="0084343C"/>
    <w:rsid w:val="008965CB"/>
    <w:rsid w:val="008A0307"/>
    <w:rsid w:val="008A1E11"/>
    <w:rsid w:val="008A3DF1"/>
    <w:rsid w:val="008E35BD"/>
    <w:rsid w:val="008F2800"/>
    <w:rsid w:val="00972206"/>
    <w:rsid w:val="009B15DE"/>
    <w:rsid w:val="009C2E27"/>
    <w:rsid w:val="009D0760"/>
    <w:rsid w:val="009E406B"/>
    <w:rsid w:val="00A1765A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B05510"/>
    <w:rsid w:val="00B10FA8"/>
    <w:rsid w:val="00B40A45"/>
    <w:rsid w:val="00BB6423"/>
    <w:rsid w:val="00BD00AC"/>
    <w:rsid w:val="00C16B07"/>
    <w:rsid w:val="00C41DD6"/>
    <w:rsid w:val="00C42CA3"/>
    <w:rsid w:val="00D740C9"/>
    <w:rsid w:val="00D75E0D"/>
    <w:rsid w:val="00DB345B"/>
    <w:rsid w:val="00DB79F3"/>
    <w:rsid w:val="00DC1F56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D5CEB"/>
    <w:rsid w:val="00EE0662"/>
    <w:rsid w:val="00EE0AF9"/>
    <w:rsid w:val="00F0655C"/>
    <w:rsid w:val="00F337C0"/>
    <w:rsid w:val="00F61A98"/>
    <w:rsid w:val="00F917BA"/>
    <w:rsid w:val="00FA5F6C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6</cp:revision>
  <cp:lastPrinted>2018-04-09T12:25:00Z</cp:lastPrinted>
  <dcterms:created xsi:type="dcterms:W3CDTF">2018-04-09T10:54:00Z</dcterms:created>
  <dcterms:modified xsi:type="dcterms:W3CDTF">2018-04-09T12:25:00Z</dcterms:modified>
</cp:coreProperties>
</file>