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C" w:rsidRDefault="00603346" w:rsidP="00EB69AD">
      <w:pPr>
        <w:pStyle w:val="Akapitzlist"/>
        <w:spacing w:before="100" w:beforeAutospacing="1" w:after="100" w:afterAutospacing="1"/>
        <w:ind w:left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</w:rPr>
        <w:t>Załącznik nr 2</w:t>
      </w:r>
      <w:r w:rsidR="00017CFC">
        <w:rPr>
          <w:rFonts w:ascii="Century Gothic" w:hAnsi="Century Gothic"/>
          <w:b/>
        </w:rPr>
        <w:t xml:space="preserve"> </w:t>
      </w:r>
      <w:r w:rsidR="004D4E92">
        <w:rPr>
          <w:rFonts w:ascii="Century Gothic" w:hAnsi="Century Gothic"/>
          <w:b/>
        </w:rPr>
        <w:t xml:space="preserve">do </w:t>
      </w:r>
      <w:r>
        <w:rPr>
          <w:rFonts w:ascii="Century Gothic" w:hAnsi="Century Gothic"/>
          <w:b/>
        </w:rPr>
        <w:t>zapytania nr IPM-G.271.4.2018</w:t>
      </w:r>
      <w:r w:rsidR="004D4E92" w:rsidRPr="00FC4779">
        <w:rPr>
          <w:rFonts w:ascii="Century Gothic" w:hAnsi="Century Gothic"/>
          <w:b/>
        </w:rPr>
        <w:t xml:space="preserve"> </w:t>
      </w:r>
      <w:r w:rsidR="00017CFC">
        <w:rPr>
          <w:rFonts w:ascii="Century Gothic" w:hAnsi="Century Gothic"/>
          <w:b/>
        </w:rPr>
        <w:t>-</w:t>
      </w:r>
      <w:r w:rsidR="00017CFC">
        <w:rPr>
          <w:b/>
        </w:rPr>
        <w:t xml:space="preserve"> </w:t>
      </w:r>
      <w:r w:rsidR="00EB69AD" w:rsidRPr="00AD0015">
        <w:rPr>
          <w:rFonts w:ascii="Century Gothic" w:hAnsi="Century Gothic"/>
          <w:sz w:val="20"/>
          <w:szCs w:val="20"/>
        </w:rPr>
        <w:t xml:space="preserve">Załącznik graficzny oraz § 12 Miejscowego Planu Zagospodarowania Przestrzennego gm. Raków dotyczące </w:t>
      </w:r>
      <w:r>
        <w:rPr>
          <w:rFonts w:ascii="Century Gothic" w:hAnsi="Century Gothic"/>
          <w:sz w:val="20"/>
          <w:szCs w:val="20"/>
        </w:rPr>
        <w:t>działki nr 2668/2</w:t>
      </w:r>
      <w:r w:rsidR="00EB69AD" w:rsidRPr="00AD0015">
        <w:rPr>
          <w:rFonts w:ascii="Century Gothic" w:hAnsi="Century Gothic"/>
          <w:sz w:val="20"/>
          <w:szCs w:val="20"/>
        </w:rPr>
        <w:t xml:space="preserve"> w miejscowości Raków.</w:t>
      </w:r>
    </w:p>
    <w:p w:rsidR="007F7323" w:rsidRPr="00AD0015" w:rsidRDefault="007F7323" w:rsidP="00EB69AD">
      <w:pPr>
        <w:pStyle w:val="Akapitzlist"/>
        <w:spacing w:before="100" w:beforeAutospacing="1" w:after="100" w:afterAutospacing="1"/>
        <w:ind w:left="0"/>
        <w:jc w:val="center"/>
        <w:rPr>
          <w:rFonts w:ascii="Century Gothic" w:hAnsi="Century Gothic"/>
          <w:sz w:val="20"/>
          <w:szCs w:val="20"/>
        </w:rPr>
      </w:pPr>
    </w:p>
    <w:p w:rsidR="00017CFC" w:rsidRDefault="00603346" w:rsidP="00017CFC">
      <w:pPr>
        <w:pStyle w:val="Akapitzlist"/>
        <w:spacing w:before="100" w:beforeAutospacing="1" w:after="100" w:afterAutospacing="1"/>
        <w:ind w:left="0"/>
        <w:jc w:val="center"/>
        <w:rPr>
          <w:b/>
        </w:rPr>
      </w:pPr>
      <w:r w:rsidRPr="00603346">
        <w:rPr>
          <w:b/>
        </w:rPr>
        <w:drawing>
          <wp:inline distT="0" distB="0" distL="0" distR="0" wp14:anchorId="0D8EA8EA" wp14:editId="1394F3FF">
            <wp:extent cx="6472555" cy="6073140"/>
            <wp:effectExtent l="0" t="0" r="444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FC" w:rsidRDefault="00017CFC" w:rsidP="00017CFC">
      <w:pPr>
        <w:keepNext/>
        <w:spacing w:before="280" w:line="240" w:lineRule="auto"/>
        <w:contextualSpacing/>
        <w:jc w:val="center"/>
      </w:pPr>
      <w:r>
        <w:rPr>
          <w:b/>
        </w:rPr>
        <w:t>§ 12. </w:t>
      </w:r>
    </w:p>
    <w:p w:rsidR="00017CFC" w:rsidRDefault="00017CFC" w:rsidP="00017CFC">
      <w:pPr>
        <w:keepLines/>
        <w:spacing w:before="120" w:line="240" w:lineRule="auto"/>
        <w:contextualSpacing/>
      </w:pPr>
      <w:r>
        <w:t>Ustalenia dotyczące zasad i warunków scalenia i podziału nieruchomości: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>1) na obszarze objętym planem nie wyznacza się terenów wymagających przeprowadzenia scaleń i podziałów nieruchomości w rozumieniu przepisów ustawy o gospodarce nieruchomościami;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>2) regulacja granic własności w liniach rozgraniczających poszczególnych terenów może nastąpić w ramach czynności cywilnoprawnych;</w:t>
      </w:r>
    </w:p>
    <w:p w:rsidR="00017CFC" w:rsidRDefault="00017CFC" w:rsidP="00017CFC">
      <w:pPr>
        <w:spacing w:before="120" w:line="240" w:lineRule="auto"/>
        <w:ind w:left="454" w:hanging="283"/>
        <w:contextualSpacing/>
      </w:pPr>
      <w:r>
        <w:t xml:space="preserve">3) ustala się szczegółowe zasady podziału oraz warunki scalania i podziału nieruchomości dokonywanych w ramach czynności </w:t>
      </w:r>
      <w:proofErr w:type="spellStart"/>
      <w:r>
        <w:t>cywilno</w:t>
      </w:r>
      <w:proofErr w:type="spellEnd"/>
      <w:r>
        <w:t xml:space="preserve"> – prawnych, o ile ustalenia szczegółowe nie stanowią inaczej: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a) każda nowo wydzielana działka budowlana winna posiadać: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dostęp do drogi publicznej drogi wewnętrznej lub ciągu pieszo-jezdnego,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realizacji miejsc postojowych dla samochodów, w ilości określonej w ustaleniach szczegółowych,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wydzielania miejsc czasowego gromadzenia odpadów,</w:t>
      </w:r>
    </w:p>
    <w:p w:rsidR="00017CFC" w:rsidRDefault="00017CFC" w:rsidP="00017CFC">
      <w:pPr>
        <w:keepLines/>
        <w:spacing w:before="120" w:line="240" w:lineRule="auto"/>
        <w:ind w:left="1134" w:hanging="113"/>
        <w:contextualSpacing/>
      </w:pPr>
      <w:r>
        <w:t>- możliwość przyłączenia do sieci infrastruktury technicznej,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lastRenderedPageBreak/>
        <w:t>b) zakazuje się wydzielania działek o parametrach uniemożliwiających w sposób oczywisty wykorzystanie działek na cele zgodne z przeznaczeniem terenu na którym są położone,</w:t>
      </w:r>
    </w:p>
    <w:p w:rsidR="00017CFC" w:rsidRPr="00772C57" w:rsidRDefault="00017CFC" w:rsidP="00017CFC">
      <w:pPr>
        <w:keepLines/>
        <w:spacing w:before="120" w:line="240" w:lineRule="auto"/>
        <w:ind w:left="907" w:hanging="283"/>
        <w:contextualSpacing/>
        <w:rPr>
          <w:u w:val="single"/>
        </w:rPr>
      </w:pPr>
      <w:r w:rsidRPr="00772C57">
        <w:rPr>
          <w:u w:val="single"/>
        </w:rPr>
        <w:t>c) minimalne wielkości oraz minimalne szerokości frontu działki nie obowiązują w przypadku dokonywania podziałów pod drogi, ulice, place, obiekty i urządzenia infrastruktury technicznej oraz podziałów mających na celu powiększenie działek sąsiednich; minimalne wielkości oraz minimalne szerokości frontu działki nie obowiązują również w przypadku dokonywania podziałów mających na celu uregulowanie spraw własnościowych związanych z istniejącą zabudową,</w:t>
      </w:r>
    </w:p>
    <w:p w:rsidR="00017CFC" w:rsidRDefault="00017CFC" w:rsidP="00017CFC">
      <w:pPr>
        <w:keepLines/>
        <w:spacing w:before="120" w:after="120" w:line="240" w:lineRule="auto"/>
        <w:ind w:left="907" w:hanging="283"/>
        <w:contextualSpacing/>
      </w:pPr>
      <w:r>
        <w:t>d) zakazuje się wydzielania nowych działek budowlanych o powierzchni mniejszej niż:</w:t>
      </w:r>
    </w:p>
    <w:tbl>
      <w:tblPr>
        <w:tblW w:w="9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550"/>
        <w:gridCol w:w="240"/>
        <w:gridCol w:w="5520"/>
      </w:tblGrid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MN, MN(z), MN.ZZ: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jednorodzinnej,</w:t>
            </w:r>
          </w:p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RM, RM(z), RM.ZZ: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1000 m</w:t>
            </w:r>
            <w:r>
              <w:rPr>
                <w:vertAlign w:val="superscript"/>
              </w:rPr>
              <w:t xml:space="preserve">2 </w:t>
            </w:r>
            <w:r>
              <w:t>– dla zabudowy zagrodowej,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MU1: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300 m</w:t>
            </w:r>
            <w:r>
              <w:rPr>
                <w:vertAlign w:val="superscript"/>
              </w:rPr>
              <w:t xml:space="preserve">2 </w:t>
            </w:r>
            <w:r>
              <w:t>– dla zabudowy mieszkaniowej,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200 m2 – dla zabudowy 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i usługowej,</w:t>
            </w:r>
          </w:p>
        </w:tc>
        <w:bookmarkStart w:id="0" w:name="_GoBack"/>
        <w:bookmarkEnd w:id="0"/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MU3,MU3(z),MU3.ZZ: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jednorodzinnej i 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800 m</w:t>
            </w:r>
            <w:r>
              <w:rPr>
                <w:vertAlign w:val="superscript"/>
              </w:rPr>
              <w:t xml:space="preserve">2 </w:t>
            </w:r>
            <w:r>
              <w:t>– dla zabudowy mieszkaniowo-usługowej,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MW: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zabudowy mieszkaniowej wielorodzinnej,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600 m</w:t>
            </w:r>
            <w:r>
              <w:rPr>
                <w:vertAlign w:val="superscript"/>
              </w:rPr>
              <w:t xml:space="preserve">2 </w:t>
            </w:r>
            <w:r>
              <w:t>– dla zabudowy usługowej,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UP: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UC, UC(z):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2000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P: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5000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UT1, UT1.ZZ: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indywidualnych obiektów rekreacyjnych i letniskowych,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hoteli, moteli, pensjonatów, domów</w:t>
            </w:r>
            <w:r w:rsidR="0063600B">
              <w:t xml:space="preserve"> </w:t>
            </w:r>
            <w:r>
              <w:t>wycieczkowych i schronisk,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5000 m</w:t>
            </w:r>
            <w:r>
              <w:rPr>
                <w:vertAlign w:val="superscript"/>
              </w:rPr>
              <w:t xml:space="preserve">2 </w:t>
            </w:r>
            <w:r>
              <w:t>– dla kempingów i pól biwakowych,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UT2: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hoteli, moteli i pensjonatów,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US1: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1500 m</w:t>
            </w:r>
            <w:r>
              <w:rPr>
                <w:vertAlign w:val="superscript"/>
              </w:rPr>
              <w:t xml:space="preserve">2 </w:t>
            </w:r>
            <w:r>
              <w:t>– dla hoteli,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400 m</w:t>
            </w:r>
            <w:r>
              <w:rPr>
                <w:vertAlign w:val="superscript"/>
              </w:rPr>
              <w:t xml:space="preserve">2 </w:t>
            </w:r>
            <w:r>
              <w:t>– dla obiektów usług z zakresu handlu i gastronomii,</w:t>
            </w:r>
          </w:p>
        </w:tc>
      </w:tr>
      <w:tr w:rsidR="00017CFC" w:rsidTr="009908F8">
        <w:tc>
          <w:tcPr>
            <w:tcW w:w="96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US2:</w:t>
            </w:r>
          </w:p>
        </w:tc>
        <w:tc>
          <w:tcPr>
            <w:tcW w:w="24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 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017CFC" w:rsidRDefault="00017CFC" w:rsidP="00017CFC">
            <w:pPr>
              <w:spacing w:line="240" w:lineRule="auto"/>
              <w:contextualSpacing/>
            </w:pPr>
            <w:r>
              <w:t>1000 m</w:t>
            </w:r>
            <w:r>
              <w:rPr>
                <w:vertAlign w:val="superscript"/>
              </w:rPr>
              <w:t>2</w:t>
            </w:r>
            <w:r>
              <w:t>,</w:t>
            </w:r>
          </w:p>
        </w:tc>
      </w:tr>
    </w:tbl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>e) zakazuje się wydzielania działek budowlanych o </w:t>
      </w:r>
      <w:proofErr w:type="spellStart"/>
      <w:r>
        <w:t>szerokosci</w:t>
      </w:r>
      <w:proofErr w:type="spellEnd"/>
      <w:r>
        <w:t xml:space="preserve"> frontu działki mniejszej niż 5 metrów,</w:t>
      </w:r>
    </w:p>
    <w:p w:rsidR="00017CFC" w:rsidRDefault="00017CFC" w:rsidP="00017CFC">
      <w:pPr>
        <w:keepLines/>
        <w:spacing w:before="120" w:line="240" w:lineRule="auto"/>
        <w:ind w:left="907" w:hanging="283"/>
        <w:contextualSpacing/>
      </w:pPr>
      <w:r>
        <w:t xml:space="preserve">f) ustala się kąt nachylenia granicy wydzielanych działek budowlanych w stosunku do pasa drogowego nie mniejszy </w:t>
      </w:r>
      <w:proofErr w:type="spellStart"/>
      <w:r>
        <w:t>niz</w:t>
      </w:r>
      <w:proofErr w:type="spellEnd"/>
      <w:r>
        <w:t xml:space="preserve"> 1º i nie większy </w:t>
      </w:r>
      <w:proofErr w:type="spellStart"/>
      <w:r>
        <w:t>niz</w:t>
      </w:r>
      <w:proofErr w:type="spellEnd"/>
      <w:r>
        <w:t xml:space="preserve"> 90º.</w:t>
      </w:r>
    </w:p>
    <w:p w:rsidR="00017CFC" w:rsidRPr="00FC4779" w:rsidRDefault="00017CFC" w:rsidP="00017CFC">
      <w:pPr>
        <w:pStyle w:val="Akapitzlist"/>
        <w:spacing w:before="100" w:beforeAutospacing="1" w:after="100" w:afterAutospacing="1"/>
        <w:ind w:left="0"/>
        <w:jc w:val="both"/>
        <w:rPr>
          <w:b/>
        </w:rPr>
      </w:pPr>
    </w:p>
    <w:sectPr w:rsidR="00017CFC" w:rsidRPr="00FC4779" w:rsidSect="00017CFC">
      <w:type w:val="continuous"/>
      <w:pgSz w:w="11905" w:h="16837"/>
      <w:pgMar w:top="709" w:right="1144" w:bottom="1440" w:left="568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017CFC"/>
    <w:rsid w:val="004D4E92"/>
    <w:rsid w:val="005E22E7"/>
    <w:rsid w:val="00603346"/>
    <w:rsid w:val="0063600B"/>
    <w:rsid w:val="00746FA5"/>
    <w:rsid w:val="00772C57"/>
    <w:rsid w:val="007F7323"/>
    <w:rsid w:val="008F55ED"/>
    <w:rsid w:val="00E73D04"/>
    <w:rsid w:val="00EB69A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63F3-D9A3-4762-9521-C58FA5E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dcterms:created xsi:type="dcterms:W3CDTF">2018-04-09T11:31:00Z</dcterms:created>
  <dcterms:modified xsi:type="dcterms:W3CDTF">2018-04-09T11:31:00Z</dcterms:modified>
</cp:coreProperties>
</file>